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Professional practice II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D5399">
              <w:rPr>
                <w:rFonts w:asciiTheme="majorHAnsi" w:hAnsiTheme="majorHAnsi" w:cs="Arial"/>
                <w:b/>
                <w:sz w:val="18"/>
                <w:szCs w:val="18"/>
              </w:rPr>
              <w:t>PP</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D5399">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C96A91">
                    <w:rPr>
                      <w:rFonts w:asciiTheme="majorHAnsi" w:hAnsiTheme="majorHAnsi" w:cs="Arial"/>
                      <w:b/>
                      <w:sz w:val="18"/>
                      <w:szCs w:val="18"/>
                    </w:rPr>
                  </w:r>
                  <w:r w:rsidR="00C96A91">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D5399">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F75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5</w:t>
            </w:r>
            <w:r w:rsidR="006F750D">
              <w:rPr>
                <w:rFonts w:asciiTheme="majorHAnsi" w:hAnsiTheme="majorHAnsi" w:cs="Arial"/>
                <w:b/>
                <w:sz w:val="18"/>
                <w:szCs w:val="18"/>
              </w:rPr>
              <w:t>5</w:t>
            </w:r>
            <w:r w:rsidR="00AE5280">
              <w:rPr>
                <w:rFonts w:asciiTheme="majorHAnsi" w:hAnsiTheme="majorHAnsi"/>
                <w:b/>
                <w:sz w:val="18"/>
                <w:szCs w:val="18"/>
              </w:rPr>
              <w:t>,</w:t>
            </w:r>
            <w:r w:rsidR="00DD5399">
              <w:rPr>
                <w:rFonts w:asciiTheme="majorHAnsi" w:hAnsiTheme="majorHAnsi"/>
                <w:b/>
                <w:sz w:val="18"/>
                <w:szCs w:val="18"/>
              </w:rPr>
              <w:t>4</w:t>
            </w:r>
            <w:r w:rsidR="006F750D">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D5399">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100</w:t>
            </w:r>
            <w:r w:rsidR="00AE5280">
              <w:rPr>
                <w:rFonts w:asciiTheme="majorHAnsi" w:hAnsiTheme="majorHAnsi" w:cs="Arial"/>
                <w:b/>
                <w:sz w:val="18"/>
                <w:szCs w:val="18"/>
              </w:rPr>
              <w:t>,</w:t>
            </w:r>
            <w:r w:rsidR="00DD5399">
              <w:rPr>
                <w:rFonts w:asciiTheme="majorHAnsi" w:hAnsiTheme="majorHAnsi" w:cs="Arial"/>
                <w:b/>
                <w:sz w:val="18"/>
                <w:szCs w:val="18"/>
              </w:rPr>
              <w:t>43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BF3CA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Chemistry/Applied chemistry</w:t>
            </w:r>
            <w:r w:rsidR="00DD5399">
              <w:rPr>
                <w:rFonts w:asciiTheme="majorHAnsi" w:hAnsiTheme="majorHAnsi" w:cs="Arial"/>
                <w:b/>
                <w:sz w:val="18"/>
                <w:szCs w:val="18"/>
              </w:rPr>
              <w:t>/</w:t>
            </w:r>
            <w:r w:rsidR="00BF3CAF">
              <w:rPr>
                <w:rFonts w:asciiTheme="majorHAnsi" w:hAnsiTheme="majorHAnsi" w:cs="Arial"/>
                <w:b/>
                <w:sz w:val="18"/>
                <w:szCs w:val="18"/>
              </w:rPr>
              <w:t>Environmental chemistry and q</w:t>
            </w:r>
            <w:r w:rsidR="00DD5399">
              <w:rPr>
                <w:rFonts w:asciiTheme="majorHAnsi" w:hAnsiTheme="majorHAnsi" w:cs="Arial"/>
                <w:b/>
                <w:sz w:val="18"/>
                <w:szCs w:val="18"/>
              </w:rPr>
              <w:t>uality control</w:t>
            </w:r>
            <w:r w:rsidR="00BF3CAF">
              <w:rPr>
                <w:rFonts w:asciiTheme="majorHAnsi" w:hAnsiTheme="majorHAnsi" w:cs="Arial"/>
                <w:b/>
                <w:sz w:val="18"/>
                <w:szCs w:val="18"/>
              </w:rPr>
              <w:t xml:space="preserve">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46CB1" w:rsidRPr="00A46CB1">
              <w:rPr>
                <w:rFonts w:asciiTheme="majorHAnsi" w:hAnsiTheme="majorHAnsi" w:cs="Arial"/>
                <w:b/>
                <w:sz w:val="18"/>
                <w:szCs w:val="18"/>
              </w:rPr>
              <w:t xml:space="preserve">Dr.sci. </w:t>
            </w:r>
            <w:r w:rsidR="00DD5399">
              <w:rPr>
                <w:rFonts w:asciiTheme="majorHAnsi" w:hAnsiTheme="majorHAnsi" w:cs="Arial"/>
                <w:b/>
                <w:sz w:val="18"/>
                <w:szCs w:val="18"/>
              </w:rPr>
              <w:t>Aldina Kesić</w:t>
            </w:r>
            <w:r w:rsidR="00A46CB1" w:rsidRPr="00A46CB1">
              <w:rPr>
                <w:rFonts w:asciiTheme="majorHAnsi" w:hAnsiTheme="majorHAnsi" w:cs="Arial"/>
                <w:b/>
                <w:sz w:val="18"/>
                <w:szCs w:val="18"/>
              </w:rPr>
              <w:t xml:space="preserve">, </w:t>
            </w:r>
            <w:r w:rsidR="00A46CB1">
              <w:rPr>
                <w:rFonts w:asciiTheme="majorHAnsi" w:hAnsiTheme="majorHAnsi" w:cs="Arial"/>
                <w:b/>
                <w:sz w:val="18"/>
                <w:szCs w:val="18"/>
              </w:rPr>
              <w:t>full</w:t>
            </w:r>
            <w:r w:rsidR="00A46CB1" w:rsidRPr="00A46CB1">
              <w:rPr>
                <w:rFonts w:asciiTheme="majorHAnsi" w:hAnsiTheme="majorHAnsi" w:cs="Arial"/>
                <w:b/>
                <w:sz w:val="18"/>
                <w:szCs w:val="18"/>
              </w:rPr>
              <w:t xml:space="preserve"> profes</w:t>
            </w:r>
            <w:r w:rsidR="00A46CB1">
              <w:rPr>
                <w:rFonts w:asciiTheme="majorHAnsi" w:hAnsiTheme="majorHAnsi" w:cs="Arial"/>
                <w:b/>
                <w:sz w:val="18"/>
                <w:szCs w:val="18"/>
              </w:rPr>
              <w:t>s</w:t>
            </w:r>
            <w:r w:rsidR="00A46CB1" w:rsidRPr="00A46CB1">
              <w:rPr>
                <w:rFonts w:asciiTheme="majorHAnsi" w:hAnsiTheme="majorHAnsi" w:cs="Arial"/>
                <w:b/>
                <w:sz w:val="18"/>
                <w:szCs w:val="18"/>
              </w:rPr>
              <w:t>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sidRPr="00DD5399">
              <w:rPr>
                <w:rFonts w:asciiTheme="majorHAnsi" w:hAnsiTheme="majorHAnsi" w:cs="Arial"/>
                <w:b/>
                <w:sz w:val="18"/>
                <w:szCs w:val="18"/>
              </w:rPr>
              <w:t>To enable students to independently perform work in a chemical laboratory. To acquire work habits and experiences, practical knowledge and skills related to the chosen professional practice activity. To become familiar with the real work environment, work tasks performed there and to connect with people from the profession.</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D5399" w:rsidRPr="00DD5399"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sidRPr="00DD5399">
              <w:rPr>
                <w:rFonts w:asciiTheme="majorHAnsi" w:hAnsiTheme="majorHAnsi" w:cs="Arial"/>
                <w:b/>
                <w:sz w:val="18"/>
                <w:szCs w:val="18"/>
              </w:rPr>
              <w:t>After successfully completing and passing the course, students will:</w:t>
            </w:r>
          </w:p>
          <w:p w:rsidR="00CB72ED" w:rsidRPr="00B96B4F"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apply the knowledge acquired in the chemistry laboratory</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T</w:t>
            </w:r>
            <w:r w:rsidR="00DD5399" w:rsidRPr="00DD5399">
              <w:rPr>
                <w:rFonts w:asciiTheme="majorHAnsi" w:hAnsiTheme="majorHAnsi" w:cs="Arial"/>
                <w:b/>
                <w:sz w:val="18"/>
                <w:szCs w:val="18"/>
              </w:rPr>
              <w:t>aking samples of raw and purified salt water, lime milk, filtered water, ammonia water, preparing chemicals for analysis, preparing solutions, defining a method and performing physical and chemical properties of salt water and ammonia brine samples, concentration, hardness, specific gravity, preparing solutions, preparing chemicals, performing physical and chemical analysis of lime milk and DS output, concentration, density and content of suspended solids, preparing solutions, preparing chemicals, defining a method to perform physical and chemical composition of raw, filtered and industrial wastewater, pH, turbidity, suspended solids, preparing a sample of filter ash, slag, limestone rock and performing combustible in ash and slag, bulk density, CaCO3 content in rock, preparing solutions, preparing chemicals for analysis of physical and chemical parameters of DS alkali, DCB output and input, BR mother liquor, suspended solids, specific gravity, preparing solutions, preparing chemicals, production of 0.5 kg CaCO3 99.00%, with a Cl content of 0.1%. Physical and chemical analyses for testing solid fuels from renewable sources. Chemical analyses of cement and cement dust and other chemical analyses of raw materials in cooperation with business entities with which the faculty cooperates.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D5399" w:rsidRPr="00DD5399"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sidRPr="00DD5399">
              <w:rPr>
                <w:rFonts w:asciiTheme="majorHAnsi" w:hAnsiTheme="majorHAnsi" w:cs="Arial"/>
                <w:b/>
                <w:sz w:val="18"/>
                <w:szCs w:val="18"/>
              </w:rPr>
              <w:t>In order to effectively deliver the course and achieve the expected course objectives and student competencies at the end of the semester, the course uses various teaching methods:</w:t>
            </w:r>
          </w:p>
          <w:p w:rsidR="00DD5399" w:rsidRPr="00DD5399"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laboratory exercises (LV)</w:t>
            </w:r>
          </w:p>
          <w:p w:rsidR="00CB72ED" w:rsidRPr="00B96B4F"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consultations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F3CAF" w:rsidRPr="00BF3CAF" w:rsidRDefault="006D5B9B" w:rsidP="00BF3CA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F3CAF" w:rsidRPr="00BF3CAF">
              <w:rPr>
                <w:rFonts w:asciiTheme="majorHAnsi" w:hAnsiTheme="majorHAnsi" w:cs="Arial"/>
                <w:b/>
                <w:sz w:val="18"/>
                <w:szCs w:val="18"/>
              </w:rPr>
              <w:t>Attendance and activity in class 20 points</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Practical exam 30 points</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Final oral exam 50 points</w:t>
            </w:r>
          </w:p>
          <w:p w:rsidR="00CB72ED" w:rsidRPr="00B96B4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To check the acquired knowledge in the subject for students taking the course, the following are used: - written and/or - oral methods. Written methods include written knowledge testing in tests (mini exams) after certain areas of the curriculum. Written exams include separate passing of the part related to solving examples/tasks and the part related to knowledge of the theory of the acquired area. The oral part of the knowledge testing includes the defense of a team project through a presentation and other forms of verbal communication through interactive work. Oral exam If a student is not satisfied with the grade or number of points during the entire teaching process and the organization of final exams, he/she may request an additional oral knowledge test from the segment in which he/she wants to improve his/her results. The subject teacher may, if deemed necessary, request that the student's complaint about the grade be resolved by repeating the knowledge test in the manner in which it was originally done, taking into account the merits of the complaint. Students who do not earn 5 points for attendance and 5 points for class activities during the teaching process will not be able to subsequently earn points on this basis, unless an error is found in recording and scoring. The oral assessment of knowledge and skills will be organized as a shorter discussion, 15-30 minutes, with a review of the core of the course or as a test with offered questions, and based on the results, students will be suggested a way to resolve the complaint about the number of points earned.</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46CB1" w:rsidRPr="00A46CB1"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 xml:space="preserve">Pre-exam requirements: Tests: </w:t>
            </w:r>
            <w:r w:rsidR="00BF3CAF">
              <w:rPr>
                <w:rFonts w:asciiTheme="majorHAnsi" w:hAnsiTheme="majorHAnsi" w:cs="Arial"/>
                <w:b/>
                <w:sz w:val="18"/>
                <w:szCs w:val="18"/>
              </w:rPr>
              <w:t>3</w:t>
            </w:r>
            <w:r w:rsidR="00A46CB1" w:rsidRPr="00A46CB1">
              <w:rPr>
                <w:rFonts w:asciiTheme="majorHAnsi" w:hAnsiTheme="majorHAnsi" w:cs="Arial"/>
                <w:b/>
                <w:sz w:val="18"/>
                <w:szCs w:val="18"/>
              </w:rPr>
              <w:t xml:space="preserve">0%, Seminar work: </w:t>
            </w:r>
            <w:r w:rsidR="00BF3CAF">
              <w:rPr>
                <w:rFonts w:asciiTheme="majorHAnsi" w:hAnsiTheme="majorHAnsi" w:cs="Arial"/>
                <w:b/>
                <w:sz w:val="18"/>
                <w:szCs w:val="18"/>
              </w:rPr>
              <w:t>20</w:t>
            </w:r>
            <w:r w:rsidR="00A46CB1" w:rsidRPr="00A46CB1">
              <w:rPr>
                <w:rFonts w:asciiTheme="majorHAnsi" w:hAnsiTheme="majorHAnsi" w:cs="Arial"/>
                <w:b/>
                <w:sz w:val="18"/>
                <w:szCs w:val="18"/>
              </w:rPr>
              <w:t>%</w:t>
            </w:r>
          </w:p>
          <w:p w:rsidR="00CB72ED" w:rsidRPr="00B96B4F" w:rsidRDefault="00A46CB1" w:rsidP="00A46CB1">
            <w:pPr>
              <w:pStyle w:val="NoSpacing"/>
              <w:rPr>
                <w:rFonts w:asciiTheme="majorHAnsi" w:hAnsiTheme="majorHAnsi" w:cs="Arial"/>
                <w:b/>
                <w:sz w:val="18"/>
                <w:szCs w:val="18"/>
              </w:rPr>
            </w:pPr>
            <w:r w:rsidRPr="00A46CB1">
              <w:rPr>
                <w:rFonts w:asciiTheme="majorHAnsi" w:hAnsiTheme="majorHAnsi" w:cs="Arial"/>
                <w:b/>
                <w:sz w:val="18"/>
                <w:szCs w:val="18"/>
              </w:rPr>
              <w:t>Final exam: 50%.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F3CAF" w:rsidRPr="00BF3CAF" w:rsidRDefault="006D5B9B" w:rsidP="00BF3CA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F3CAF" w:rsidRPr="00BF3CAF">
              <w:rPr>
                <w:rFonts w:asciiTheme="majorHAnsi" w:hAnsiTheme="majorHAnsi" w:cs="Arial"/>
                <w:b/>
                <w:sz w:val="18"/>
                <w:szCs w:val="18"/>
              </w:rPr>
              <w:t>1.Antioksidansi - oksidacijski stres i antioksidacijska zaštita, Aldina Kesić, Nadira Ibrišimović Mehmedinović, Almir Šestan</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2. Kiseonikovi slobodni radikali i prirodni antioksidansi, Dr.Jasna Čanadanović - Brunet, 1998</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3. Metali u vodi za piće, Biljana Z. Čirić, 2007</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4. Uvod u laboratorijski rad, Nadira Ibrišimović Mehmedinovi, Jasmina Dedić, Mirza Ibrišimović, Aldina Kesić</w:t>
            </w:r>
          </w:p>
          <w:p w:rsidR="00CB72ED" w:rsidRPr="00B96B4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5. V. Mayer, Eksperimentalna nastava kemije, Zagreb, Školska knjiga, 1991.</w:t>
            </w:r>
            <w:r w:rsidR="00A46CB1" w:rsidRPr="00A46CB1">
              <w:rPr>
                <w:rFonts w:asciiTheme="majorHAnsi" w:hAnsiTheme="majorHAnsi" w:cs="Arial"/>
                <w:b/>
                <w:sz w:val="18"/>
                <w:szCs w:val="18"/>
              </w:rPr>
              <w:t>.</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BF3CA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F3CAF" w:rsidRPr="00BF3CAF">
              <w:rPr>
                <w:rFonts w:asciiTheme="majorHAnsi" w:hAnsiTheme="majorHAnsi" w:cs="Arial"/>
                <w:b/>
                <w:sz w:val="18"/>
                <w:szCs w:val="18"/>
              </w:rPr>
              <w:t xml:space="preserve"> </w:t>
            </w:r>
            <w:r w:rsidR="00BF3CAF">
              <w:rPr>
                <w:rFonts w:asciiTheme="majorHAnsi" w:hAnsiTheme="majorHAnsi" w:cs="Arial"/>
                <w:b/>
                <w:sz w:val="18"/>
                <w:szCs w:val="18"/>
              </w:rPr>
              <w:t xml:space="preserve">1. </w:t>
            </w:r>
            <w:r w:rsidR="00BF3CAF" w:rsidRPr="00BF3CAF">
              <w:rPr>
                <w:rFonts w:asciiTheme="majorHAnsi" w:hAnsiTheme="majorHAnsi" w:cs="Arial"/>
                <w:b/>
                <w:sz w:val="18"/>
                <w:szCs w:val="18"/>
              </w:rPr>
              <w:t>Inženjerstvo mineralnih veziva, Vilko Mandić, Marko Rukavina, zagreb 2024.</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AE5280">
              <w:rPr>
                <w:rFonts w:asciiTheme="majorHAnsi" w:hAnsiTheme="majorHAnsi" w:cs="Arial"/>
                <w:b/>
                <w:spacing w:val="215"/>
                <w:sz w:val="18"/>
                <w:szCs w:val="18"/>
              </w:rPr>
              <w:t>    </w:t>
            </w:r>
            <w:r w:rsidR="00FB48B6" w:rsidRPr="00AE5280">
              <w:rPr>
                <w:rFonts w:asciiTheme="majorHAnsi" w:hAnsiTheme="majorHAnsi" w:cs="Arial"/>
                <w:b/>
                <w:spacing w:val="3"/>
                <w:sz w:val="18"/>
                <w:szCs w:val="18"/>
              </w:rPr>
              <w:t> </w:t>
            </w:r>
            <w:r w:rsidRPr="00AE5280">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A91" w:rsidRDefault="00C96A91">
      <w:pPr>
        <w:spacing w:line="240" w:lineRule="auto"/>
      </w:pPr>
      <w:r>
        <w:separator/>
      </w:r>
    </w:p>
  </w:endnote>
  <w:endnote w:type="continuationSeparator" w:id="0">
    <w:p w:rsidR="00C96A91" w:rsidRDefault="00C96A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ED1B3E">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A41D61">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A41D61">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A91" w:rsidRDefault="00C96A91">
      <w:pPr>
        <w:spacing w:after="0"/>
      </w:pPr>
      <w:r>
        <w:separator/>
      </w:r>
    </w:p>
  </w:footnote>
  <w:footnote w:type="continuationSeparator" w:id="0">
    <w:p w:rsidR="00C96A91" w:rsidRDefault="00C96A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0E5"/>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50D"/>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1D61"/>
    <w:rsid w:val="00A444A5"/>
    <w:rsid w:val="00A46BCD"/>
    <w:rsid w:val="00A46CB1"/>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49F"/>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3CAF"/>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6A91"/>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2199"/>
    <w:rsid w:val="00D764F7"/>
    <w:rsid w:val="00D91853"/>
    <w:rsid w:val="00DA1C36"/>
    <w:rsid w:val="00DA3DC5"/>
    <w:rsid w:val="00DB1ACB"/>
    <w:rsid w:val="00DB2A5B"/>
    <w:rsid w:val="00DB351A"/>
    <w:rsid w:val="00DB49E6"/>
    <w:rsid w:val="00DC2E13"/>
    <w:rsid w:val="00DC4ECD"/>
    <w:rsid w:val="00DD1ECB"/>
    <w:rsid w:val="00DD5399"/>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D1B3E"/>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87120-8945-47A0-9808-C02A968F8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2026-03-13T09:43:00Z</dcterms:created>
  <dcterms:modified xsi:type="dcterms:W3CDTF">2026-03-13T09:43:00Z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